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704" w:rsidRPr="00E83704" w:rsidRDefault="00E83704" w:rsidP="00E346F3">
      <w:pPr>
        <w:shd w:val="clear" w:color="auto" w:fill="FFFFFF"/>
        <w:spacing w:before="150" w:after="150" w:line="555" w:lineRule="atLeast"/>
        <w:jc w:val="center"/>
        <w:outlineLvl w:val="0"/>
        <w:rPr>
          <w:rFonts w:ascii="Calibri" w:eastAsia="Times New Roman" w:hAnsi="Calibri" w:cs="Calibri"/>
          <w:b/>
          <w:bCs/>
          <w:color w:val="000000"/>
          <w:kern w:val="36"/>
          <w:sz w:val="38"/>
          <w:szCs w:val="38"/>
          <w:lang w:eastAsia="ru-RU"/>
        </w:rPr>
      </w:pPr>
      <w:r w:rsidRPr="00E83704">
        <w:rPr>
          <w:rFonts w:ascii="Calibri" w:eastAsia="Times New Roman" w:hAnsi="Calibri" w:cs="Calibri"/>
          <w:b/>
          <w:bCs/>
          <w:color w:val="000000"/>
          <w:kern w:val="36"/>
          <w:sz w:val="38"/>
          <w:szCs w:val="38"/>
          <w:lang w:eastAsia="ru-RU"/>
        </w:rPr>
        <w:t>Средства обучения и воспитания детей</w:t>
      </w:r>
      <w:r w:rsidR="00721FCA">
        <w:rPr>
          <w:rFonts w:ascii="Calibri" w:eastAsia="Times New Roman" w:hAnsi="Calibri" w:cs="Calibri"/>
          <w:b/>
          <w:bCs/>
          <w:color w:val="000000"/>
          <w:kern w:val="36"/>
          <w:sz w:val="38"/>
          <w:szCs w:val="38"/>
          <w:lang w:eastAsia="ru-RU"/>
        </w:rPr>
        <w:t xml:space="preserve"> МКДОУ</w:t>
      </w:r>
      <w:r w:rsidR="00E346F3">
        <w:rPr>
          <w:rFonts w:ascii="Calibri" w:eastAsia="Times New Roman" w:hAnsi="Calibri" w:cs="Calibri"/>
          <w:b/>
          <w:bCs/>
          <w:color w:val="000000"/>
          <w:kern w:val="36"/>
          <w:sz w:val="38"/>
          <w:szCs w:val="38"/>
          <w:lang w:eastAsia="ru-RU"/>
        </w:rPr>
        <w:t xml:space="preserve"> «Детский сад</w:t>
      </w:r>
      <w:r w:rsidR="00721FCA">
        <w:rPr>
          <w:rFonts w:ascii="Calibri" w:eastAsia="Times New Roman" w:hAnsi="Calibri" w:cs="Calibri"/>
          <w:b/>
          <w:bCs/>
          <w:color w:val="000000"/>
          <w:kern w:val="36"/>
          <w:sz w:val="38"/>
          <w:szCs w:val="38"/>
          <w:lang w:eastAsia="ru-RU"/>
        </w:rPr>
        <w:t xml:space="preserve"> </w:t>
      </w:r>
      <w:r w:rsidR="00537855">
        <w:rPr>
          <w:rFonts w:ascii="Calibri" w:eastAsia="Times New Roman" w:hAnsi="Calibri" w:cs="Calibri"/>
          <w:b/>
          <w:bCs/>
          <w:color w:val="000000"/>
          <w:kern w:val="36"/>
          <w:sz w:val="38"/>
          <w:szCs w:val="38"/>
          <w:lang w:eastAsia="ru-RU"/>
        </w:rPr>
        <w:t xml:space="preserve">№9 </w:t>
      </w:r>
      <w:r w:rsidR="00721FCA">
        <w:rPr>
          <w:rFonts w:ascii="Calibri" w:eastAsia="Times New Roman" w:hAnsi="Calibri" w:cs="Calibri"/>
          <w:b/>
          <w:bCs/>
          <w:color w:val="000000"/>
          <w:kern w:val="36"/>
          <w:sz w:val="38"/>
          <w:szCs w:val="38"/>
          <w:lang w:eastAsia="ru-RU"/>
        </w:rPr>
        <w:t>«</w:t>
      </w:r>
      <w:r w:rsidR="00537855">
        <w:rPr>
          <w:rFonts w:ascii="Calibri" w:eastAsia="Times New Roman" w:hAnsi="Calibri" w:cs="Calibri"/>
          <w:b/>
          <w:bCs/>
          <w:color w:val="000000"/>
          <w:kern w:val="36"/>
          <w:sz w:val="38"/>
          <w:szCs w:val="38"/>
          <w:lang w:eastAsia="ru-RU"/>
        </w:rPr>
        <w:t>Ромашка</w:t>
      </w:r>
      <w:bookmarkStart w:id="0" w:name="_GoBack"/>
      <w:bookmarkEnd w:id="0"/>
      <w:r w:rsidR="00721FCA">
        <w:rPr>
          <w:rFonts w:ascii="Calibri" w:eastAsia="Times New Roman" w:hAnsi="Calibri" w:cs="Calibri"/>
          <w:b/>
          <w:bCs/>
          <w:color w:val="000000"/>
          <w:kern w:val="36"/>
          <w:sz w:val="38"/>
          <w:szCs w:val="38"/>
          <w:lang w:eastAsia="ru-RU"/>
        </w:rPr>
        <w:t>»</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b/>
          <w:bCs/>
          <w:color w:val="000000"/>
          <w:sz w:val="28"/>
          <w:szCs w:val="28"/>
          <w:lang w:eastAsia="ru-RU"/>
        </w:rPr>
        <w:t>Средства обучения</w:t>
      </w:r>
      <w:r w:rsidRPr="00884CCB">
        <w:rPr>
          <w:rFonts w:ascii="Calibri" w:eastAsia="Times New Roman" w:hAnsi="Calibri" w:cs="Calibri"/>
          <w:color w:val="000000"/>
          <w:sz w:val="28"/>
          <w:szCs w:val="28"/>
          <w:lang w:eastAsia="ru-RU"/>
        </w:rPr>
        <w:t> и воспитания— это объекты,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i/>
          <w:iCs/>
          <w:color w:val="000000"/>
          <w:sz w:val="28"/>
          <w:szCs w:val="28"/>
          <w:lang w:eastAsia="ru-RU"/>
        </w:rPr>
        <w:t>Средства обучения воспитания подразделяются на следующие виды:</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печатные (методическая литература  и учебные пособия, книги для чтения, хрестоматии, рабочие тетради, атласы, раздаточный материал и т.д.);</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аудиовизуальные (слайды,  образовательные  видеофильмы  на цифровых носителях);</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наглядные плоскостные (плакаты, карты настенные, иллюстрации настенные, магнитные доски);</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демонстрационные (гербарии, муляжи, макеты, стенды, игрушки);</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спортивное оборудование.</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i/>
          <w:iCs/>
          <w:color w:val="000000"/>
          <w:sz w:val="28"/>
          <w:szCs w:val="28"/>
          <w:lang w:eastAsia="ru-RU"/>
        </w:rPr>
        <w:t>Наглядные пособия классифицируются на три группы:</w:t>
      </w:r>
    </w:p>
    <w:p w:rsidR="00E83704" w:rsidRPr="00884CCB"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объемные пособия (муляжи, игрушки, игры  и т.п.);</w:t>
      </w:r>
    </w:p>
    <w:p w:rsidR="00E83704" w:rsidRPr="00884CCB"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печатные пособия (картины, плакаты, рабочие тетради)</w:t>
      </w:r>
    </w:p>
    <w:p w:rsidR="00E83704" w:rsidRPr="00884CCB"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проекционный материал (видеофильмы, слайды и т.п.)</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i/>
          <w:iCs/>
          <w:color w:val="000000"/>
          <w:sz w:val="28"/>
          <w:szCs w:val="28"/>
          <w:lang w:eastAsia="ru-RU"/>
        </w:rPr>
        <w:t>Принципы использования средств обучения:</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учет возрастных и психологических особенностей детей;</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гармоничное использование разнообразных средств обучения и воспитания: традиционных и современных для комплексного, целенаправленного воздействия на эмоции, поведение ребёнка через визуальную, аудиальную, кинестетическую системы восприятия в образовательных целях;</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учет дидактических целей и принципов дидактики;</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lastRenderedPageBreak/>
        <w:t>приоритет правил безопасности в использовании средств обучения.</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Предметно-развивающая среда создана с учетом интеграции образовательных областей. Подбор средств обучения и воспитания осуществляется для всех видов детской деятельности (игровой, продуктивной, познавательно-исследовательской, трудовой, самостоятельно-художественной деятельности, двигательной)  которые  способствуют развитию дошкольников.</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b/>
          <w:bCs/>
          <w:color w:val="000000"/>
          <w:sz w:val="28"/>
          <w:szCs w:val="28"/>
          <w:lang w:eastAsia="ru-RU"/>
        </w:rPr>
        <w:t>Перечень средств обучения и воспитания</w:t>
      </w:r>
    </w:p>
    <w:tbl>
      <w:tblPr>
        <w:tblW w:w="10200" w:type="dxa"/>
        <w:tblCellMar>
          <w:top w:w="15" w:type="dxa"/>
          <w:left w:w="15" w:type="dxa"/>
          <w:bottom w:w="15" w:type="dxa"/>
          <w:right w:w="15" w:type="dxa"/>
        </w:tblCellMar>
        <w:tblLook w:val="04A0" w:firstRow="1" w:lastRow="0" w:firstColumn="1" w:lastColumn="0" w:noHBand="0" w:noVBand="1"/>
      </w:tblPr>
      <w:tblGrid>
        <w:gridCol w:w="2876"/>
        <w:gridCol w:w="7324"/>
      </w:tblGrid>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b/>
                <w:bCs/>
                <w:sz w:val="28"/>
                <w:szCs w:val="28"/>
                <w:lang w:eastAsia="ru-RU"/>
              </w:rPr>
              <w:t>Образовательные области</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b/>
                <w:bCs/>
                <w:sz w:val="28"/>
                <w:szCs w:val="28"/>
                <w:lang w:eastAsia="ru-RU"/>
              </w:rPr>
              <w:t>Материально-техническое и учебно-материальное обеспечение</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Физическое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F35358">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Обручи пластмассовые, палки пластмассовые гимнастические, мячи разного диаметра, набор кеглей, дуги для </w:t>
            </w:r>
            <w:proofErr w:type="spellStart"/>
            <w:r w:rsidRPr="00884CCB">
              <w:rPr>
                <w:rFonts w:ascii="Times New Roman" w:eastAsia="Times New Roman" w:hAnsi="Times New Roman" w:cs="Times New Roman"/>
                <w:sz w:val="28"/>
                <w:szCs w:val="28"/>
                <w:lang w:eastAsia="ru-RU"/>
              </w:rPr>
              <w:t>подлезания</w:t>
            </w:r>
            <w:proofErr w:type="spellEnd"/>
            <w:r w:rsidRPr="00884CCB">
              <w:rPr>
                <w:rFonts w:ascii="Times New Roman" w:eastAsia="Times New Roman" w:hAnsi="Times New Roman" w:cs="Times New Roman"/>
                <w:sz w:val="28"/>
                <w:szCs w:val="28"/>
                <w:lang w:eastAsia="ru-RU"/>
              </w:rPr>
              <w:t xml:space="preserve">, коврики массажные, </w:t>
            </w:r>
            <w:proofErr w:type="spellStart"/>
            <w:r w:rsidRPr="00884CCB">
              <w:rPr>
                <w:rFonts w:ascii="Times New Roman" w:eastAsia="Times New Roman" w:hAnsi="Times New Roman" w:cs="Times New Roman"/>
                <w:sz w:val="28"/>
                <w:szCs w:val="28"/>
                <w:lang w:eastAsia="ru-RU"/>
              </w:rPr>
              <w:t>массажеры</w:t>
            </w:r>
            <w:proofErr w:type="spellEnd"/>
            <w:r w:rsidRPr="00884CCB">
              <w:rPr>
                <w:rFonts w:ascii="Times New Roman" w:eastAsia="Times New Roman" w:hAnsi="Times New Roman" w:cs="Times New Roman"/>
                <w:sz w:val="28"/>
                <w:szCs w:val="28"/>
                <w:lang w:eastAsia="ru-RU"/>
              </w:rPr>
              <w:t xml:space="preserve"> для </w:t>
            </w:r>
            <w:proofErr w:type="gramStart"/>
            <w:r w:rsidRPr="00884CCB">
              <w:rPr>
                <w:rFonts w:ascii="Times New Roman" w:eastAsia="Times New Roman" w:hAnsi="Times New Roman" w:cs="Times New Roman"/>
                <w:sz w:val="28"/>
                <w:szCs w:val="28"/>
                <w:lang w:eastAsia="ru-RU"/>
              </w:rPr>
              <w:t>ног,  скамейки</w:t>
            </w:r>
            <w:proofErr w:type="gramEnd"/>
            <w:r w:rsidRPr="00884CCB">
              <w:rPr>
                <w:rFonts w:ascii="Times New Roman" w:eastAsia="Times New Roman" w:hAnsi="Times New Roman" w:cs="Times New Roman"/>
                <w:sz w:val="28"/>
                <w:szCs w:val="28"/>
                <w:lang w:eastAsia="ru-RU"/>
              </w:rPr>
              <w:t xml:space="preserve"> для ходьбы (наклонная, с препятствиями), </w:t>
            </w:r>
            <w:proofErr w:type="spellStart"/>
            <w:r w:rsidRPr="00884CCB">
              <w:rPr>
                <w:rFonts w:ascii="Times New Roman" w:eastAsia="Times New Roman" w:hAnsi="Times New Roman" w:cs="Times New Roman"/>
                <w:sz w:val="28"/>
                <w:szCs w:val="28"/>
                <w:lang w:eastAsia="ru-RU"/>
              </w:rPr>
              <w:t>кольцебросы</w:t>
            </w:r>
            <w:proofErr w:type="spellEnd"/>
            <w:r w:rsidRPr="00884CCB">
              <w:rPr>
                <w:rFonts w:ascii="Times New Roman" w:eastAsia="Times New Roman" w:hAnsi="Times New Roman" w:cs="Times New Roman"/>
                <w:sz w:val="28"/>
                <w:szCs w:val="28"/>
                <w:lang w:eastAsia="ru-RU"/>
              </w:rPr>
              <w:t xml:space="preserve">, ракетки, мешочки для равновесия, скакалки детские, флажки, разноцветные ленты, мягкие мячи для метания, волейбольные мячи,  туннели,  Набор предметных карточек «Предметы гигиены». Сюжетные картинки «Гимнастика в детском саду». Набор предметных карточек «Мое тело», «Режим дня». Наглядные методические пособия </w:t>
            </w:r>
            <w:proofErr w:type="gramStart"/>
            <w:r w:rsidRPr="00884CCB">
              <w:rPr>
                <w:rFonts w:ascii="Times New Roman" w:eastAsia="Times New Roman" w:hAnsi="Times New Roman" w:cs="Times New Roman"/>
                <w:sz w:val="28"/>
                <w:szCs w:val="28"/>
                <w:lang w:eastAsia="ru-RU"/>
              </w:rPr>
              <w:t>( плакаты</w:t>
            </w:r>
            <w:proofErr w:type="gramEnd"/>
            <w:r w:rsidRPr="00884CCB">
              <w:rPr>
                <w:rFonts w:ascii="Times New Roman" w:eastAsia="Times New Roman" w:hAnsi="Times New Roman" w:cs="Times New Roman"/>
                <w:sz w:val="28"/>
                <w:szCs w:val="28"/>
                <w:lang w:eastAsia="ru-RU"/>
              </w:rPr>
              <w:t xml:space="preserve"> по теме физическое развитие детей). </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Социально-коммуникативное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Грузовые, легковые автомобили, игрушки (куклы в одежде, куклы-младенцы, одежда для кукол). Набор демонстрационных картин «Правила дорожного движения». Набор демонстрационных картин «Правила пожарной безопасности». Набор предметных карточек «Транспорт». Наборы сюжетных картинок «Дорожная азбука», «Уроки безопасности». Набор предметных карточек «Профессии». Дидактические пособия, печатные пособия (картины, плакаты). Наборы игрушечной посуды. Наборы для сюжетно-ролевых игр. Игровые модули «Кухня».</w:t>
            </w:r>
          </w:p>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Оборудование для трудовой деятельности (совочки, грабельки, палочки, лейки пластмассовые детские). Природный материал и бросовый материал для ручного </w:t>
            </w:r>
            <w:r w:rsidRPr="00884CCB">
              <w:rPr>
                <w:rFonts w:ascii="Times New Roman" w:eastAsia="Times New Roman" w:hAnsi="Times New Roman" w:cs="Times New Roman"/>
                <w:sz w:val="28"/>
                <w:szCs w:val="28"/>
                <w:lang w:eastAsia="ru-RU"/>
              </w:rPr>
              <w:lastRenderedPageBreak/>
              <w:t>труда Картины, плакаты «Профессии», «Государственные символы России» и др. Набор предметных карточек «Инструменты», «Посуда», «Одежда» и др. Книги, энциклопедии, тематические книги.</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lastRenderedPageBreak/>
              <w:t>Познавательное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Стенд «Государственные символы России». Географические карты, атласы, хрестоматии Демонстрационные (гербарии, муляжи, картины и динамические модели). Учебные приборы (микроскоп, колбы, песочные часы, компас и </w:t>
            </w:r>
            <w:proofErr w:type="spellStart"/>
            <w:r w:rsidRPr="00884CCB">
              <w:rPr>
                <w:rFonts w:ascii="Times New Roman" w:eastAsia="Times New Roman" w:hAnsi="Times New Roman" w:cs="Times New Roman"/>
                <w:sz w:val="28"/>
                <w:szCs w:val="28"/>
                <w:lang w:eastAsia="ru-RU"/>
              </w:rPr>
              <w:t>др</w:t>
            </w:r>
            <w:proofErr w:type="spellEnd"/>
            <w:r w:rsidRPr="00884CCB">
              <w:rPr>
                <w:rFonts w:ascii="Times New Roman" w:eastAsia="Times New Roman" w:hAnsi="Times New Roman" w:cs="Times New Roman"/>
                <w:sz w:val="28"/>
                <w:szCs w:val="28"/>
                <w:lang w:eastAsia="ru-RU"/>
              </w:rPr>
              <w:t xml:space="preserve">). Наборы тематических предметных карточек «Посуда», «Овощи», «Деревья», «Животные», «Птицы», «Мебель», «Бытовые приборы», «Растения», «Грибы», «Ягоды», «Одежда, обувь», «Транспорт», «Инструменты. Спортивный инвентарь», «Электроприборы», «Рыбы. Насекомые», Продукты питания». Серия демонстрационных сюжетных тематических плакатов «Дикие Животные», «Домашние животные», «Птицы», «Времена года», «Транспорт» и </w:t>
            </w:r>
            <w:proofErr w:type="gramStart"/>
            <w:r w:rsidRPr="00884CCB">
              <w:rPr>
                <w:rFonts w:ascii="Times New Roman" w:eastAsia="Times New Roman" w:hAnsi="Times New Roman" w:cs="Times New Roman"/>
                <w:sz w:val="28"/>
                <w:szCs w:val="28"/>
                <w:lang w:eastAsia="ru-RU"/>
              </w:rPr>
              <w:t>др..</w:t>
            </w:r>
            <w:proofErr w:type="gramEnd"/>
            <w:r w:rsidRPr="00884CCB">
              <w:rPr>
                <w:rFonts w:ascii="Times New Roman" w:eastAsia="Times New Roman" w:hAnsi="Times New Roman" w:cs="Times New Roman"/>
                <w:sz w:val="28"/>
                <w:szCs w:val="28"/>
                <w:lang w:eastAsia="ru-RU"/>
              </w:rPr>
              <w:t xml:space="preserve"> Лото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 Мозаика с плоскостными элементами различных геометрических форм, дидактические игры «Цвет», «Форма», «Фигуры», «Свойства», «Закономерности», «Последовательность». Микроскоп.</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Речевое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Серия сюжетных картинок-иллюстраций к сказкам для обучения пересказу. Схемы для составления устных рассказов (описание игрушки; описательный рассказ о себе; описание овощей, фруктов, ягод; описание животных, птиц, рыб; описание сезонных изменений). Наглядные </w:t>
            </w:r>
            <w:proofErr w:type="gramStart"/>
            <w:r w:rsidRPr="00884CCB">
              <w:rPr>
                <w:rFonts w:ascii="Times New Roman" w:eastAsia="Times New Roman" w:hAnsi="Times New Roman" w:cs="Times New Roman"/>
                <w:sz w:val="28"/>
                <w:szCs w:val="28"/>
                <w:lang w:eastAsia="ru-RU"/>
              </w:rPr>
              <w:t>материала  в</w:t>
            </w:r>
            <w:proofErr w:type="gramEnd"/>
            <w:r w:rsidRPr="00884CCB">
              <w:rPr>
                <w:rFonts w:ascii="Times New Roman" w:eastAsia="Times New Roman" w:hAnsi="Times New Roman" w:cs="Times New Roman"/>
                <w:sz w:val="28"/>
                <w:szCs w:val="28"/>
                <w:lang w:eastAsia="ru-RU"/>
              </w:rPr>
              <w:t xml:space="preserve"> виде карточек и сюжетных  картин для составления предложений и устных рассказов. Наглядные материалы по теме «Предлоги». Артикуляционные карточки. Предметные игрушки-персонажи. Сюжетные картины «Времена года», «Мы играем», «Звучащее слово», «Животные», «Растения».  Методическая литература (рабочие тетради, хрестоматии и </w:t>
            </w:r>
            <w:proofErr w:type="spellStart"/>
            <w:r w:rsidRPr="00884CCB">
              <w:rPr>
                <w:rFonts w:ascii="Times New Roman" w:eastAsia="Times New Roman" w:hAnsi="Times New Roman" w:cs="Times New Roman"/>
                <w:sz w:val="28"/>
                <w:szCs w:val="28"/>
                <w:lang w:eastAsia="ru-RU"/>
              </w:rPr>
              <w:t>др</w:t>
            </w:r>
            <w:proofErr w:type="spellEnd"/>
            <w:r w:rsidRPr="00884CCB">
              <w:rPr>
                <w:rFonts w:ascii="Times New Roman" w:eastAsia="Times New Roman" w:hAnsi="Times New Roman" w:cs="Times New Roman"/>
                <w:sz w:val="28"/>
                <w:szCs w:val="28"/>
                <w:lang w:eastAsia="ru-RU"/>
              </w:rPr>
              <w:t>).</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lastRenderedPageBreak/>
              <w:t>Художественно -эстетическое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Комплекты детских книг для каждого возраста, детские энциклопедии, иллюстрации к детской художественной литературе, портреты писателей. Магнитная доска, мольберт, репродукции художников, портреты художников-иллюстраторов </w:t>
            </w:r>
            <w:proofErr w:type="gramStart"/>
            <w:r w:rsidRPr="00884CCB">
              <w:rPr>
                <w:rFonts w:ascii="Times New Roman" w:eastAsia="Times New Roman" w:hAnsi="Times New Roman" w:cs="Times New Roman"/>
                <w:sz w:val="28"/>
                <w:szCs w:val="28"/>
                <w:lang w:eastAsia="ru-RU"/>
              </w:rPr>
              <w:t>и  писателей</w:t>
            </w:r>
            <w:proofErr w:type="gramEnd"/>
            <w:r w:rsidRPr="00884CCB">
              <w:rPr>
                <w:rFonts w:ascii="Times New Roman" w:eastAsia="Times New Roman" w:hAnsi="Times New Roman" w:cs="Times New Roman"/>
                <w:sz w:val="28"/>
                <w:szCs w:val="28"/>
                <w:lang w:eastAsia="ru-RU"/>
              </w:rPr>
              <w:t xml:space="preserve">, комплект изделий народных промыслов (дымка, гжель, </w:t>
            </w:r>
            <w:proofErr w:type="spellStart"/>
            <w:r w:rsidRPr="00884CCB">
              <w:rPr>
                <w:rFonts w:ascii="Times New Roman" w:eastAsia="Times New Roman" w:hAnsi="Times New Roman" w:cs="Times New Roman"/>
                <w:sz w:val="28"/>
                <w:szCs w:val="28"/>
                <w:lang w:eastAsia="ru-RU"/>
              </w:rPr>
              <w:t>филимоновская</w:t>
            </w:r>
            <w:proofErr w:type="spellEnd"/>
            <w:r w:rsidRPr="00884CCB">
              <w:rPr>
                <w:rFonts w:ascii="Times New Roman" w:eastAsia="Times New Roman" w:hAnsi="Times New Roman" w:cs="Times New Roman"/>
                <w:sz w:val="28"/>
                <w:szCs w:val="28"/>
                <w:lang w:eastAsia="ru-RU"/>
              </w:rPr>
              <w:t xml:space="preserve"> игрушка), альбомы – пособия  «Городецкая роспись», «Гжель», «Хохлома», «Дымка», тематические  плакаты для лепки, рисования. 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 </w:t>
            </w:r>
          </w:p>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w:t>
            </w:r>
            <w:proofErr w:type="gramStart"/>
            <w:r w:rsidRPr="00884CCB">
              <w:rPr>
                <w:rFonts w:ascii="Times New Roman" w:eastAsia="Times New Roman" w:hAnsi="Times New Roman" w:cs="Times New Roman"/>
                <w:sz w:val="28"/>
                <w:szCs w:val="28"/>
                <w:lang w:eastAsia="ru-RU"/>
              </w:rPr>
              <w:t>барабан,  погремушки</w:t>
            </w:r>
            <w:proofErr w:type="gramEnd"/>
            <w:r w:rsidRPr="00884CCB">
              <w:rPr>
                <w:rFonts w:ascii="Times New Roman" w:eastAsia="Times New Roman" w:hAnsi="Times New Roman" w:cs="Times New Roman"/>
                <w:sz w:val="28"/>
                <w:szCs w:val="28"/>
                <w:lang w:eastAsia="ru-RU"/>
              </w:rPr>
              <w:t>), металлофон. 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tc>
      </w:tr>
    </w:tbl>
    <w:p w:rsidR="00DC2935" w:rsidRPr="00884CCB" w:rsidRDefault="00DC2935">
      <w:pPr>
        <w:rPr>
          <w:sz w:val="28"/>
          <w:szCs w:val="28"/>
        </w:rPr>
      </w:pPr>
    </w:p>
    <w:sectPr w:rsidR="00DC2935" w:rsidRPr="00884CCB" w:rsidSect="00DC2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D38F6"/>
    <w:multiLevelType w:val="multilevel"/>
    <w:tmpl w:val="F82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C74CE"/>
    <w:multiLevelType w:val="multilevel"/>
    <w:tmpl w:val="B30E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96FB6"/>
    <w:multiLevelType w:val="multilevel"/>
    <w:tmpl w:val="5556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83704"/>
    <w:rsid w:val="000A503A"/>
    <w:rsid w:val="00166B28"/>
    <w:rsid w:val="0053039C"/>
    <w:rsid w:val="00537855"/>
    <w:rsid w:val="00721FCA"/>
    <w:rsid w:val="00884CCB"/>
    <w:rsid w:val="00DC2935"/>
    <w:rsid w:val="00E2749D"/>
    <w:rsid w:val="00E346F3"/>
    <w:rsid w:val="00E83704"/>
    <w:rsid w:val="00F35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914AA-A069-4FCB-A15F-B5680414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935"/>
  </w:style>
  <w:style w:type="paragraph" w:styleId="1">
    <w:name w:val="heading 1"/>
    <w:basedOn w:val="a"/>
    <w:link w:val="10"/>
    <w:uiPriority w:val="9"/>
    <w:qFormat/>
    <w:rsid w:val="00E837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70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83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3704"/>
    <w:rPr>
      <w:b/>
      <w:bCs/>
    </w:rPr>
  </w:style>
  <w:style w:type="character" w:styleId="a5">
    <w:name w:val="Hyperlink"/>
    <w:basedOn w:val="a0"/>
    <w:uiPriority w:val="99"/>
    <w:semiHidden/>
    <w:unhideWhenUsed/>
    <w:rsid w:val="00E83704"/>
    <w:rPr>
      <w:color w:val="0000FF"/>
      <w:u w:val="single"/>
    </w:rPr>
  </w:style>
  <w:style w:type="character" w:styleId="a6">
    <w:name w:val="Emphasis"/>
    <w:basedOn w:val="a0"/>
    <w:uiPriority w:val="20"/>
    <w:qFormat/>
    <w:rsid w:val="00E83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115220">
      <w:bodyDiv w:val="1"/>
      <w:marLeft w:val="0"/>
      <w:marRight w:val="0"/>
      <w:marTop w:val="0"/>
      <w:marBottom w:val="0"/>
      <w:divBdr>
        <w:top w:val="none" w:sz="0" w:space="0" w:color="auto"/>
        <w:left w:val="none" w:sz="0" w:space="0" w:color="auto"/>
        <w:bottom w:val="none" w:sz="0" w:space="0" w:color="auto"/>
        <w:right w:val="none" w:sz="0" w:space="0" w:color="auto"/>
      </w:divBdr>
      <w:divsChild>
        <w:div w:id="147163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941</Words>
  <Characters>5370</Characters>
  <Application>Microsoft Office Word</Application>
  <DocSecurity>0</DocSecurity>
  <Lines>44</Lines>
  <Paragraphs>12</Paragraphs>
  <ScaleCrop>false</ScaleCrop>
  <Company>SPecialiST RePack</Company>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зуля магомедова</cp:lastModifiedBy>
  <cp:revision>10</cp:revision>
  <dcterms:created xsi:type="dcterms:W3CDTF">2018-01-19T12:48:00Z</dcterms:created>
  <dcterms:modified xsi:type="dcterms:W3CDTF">2019-04-01T21:08:00Z</dcterms:modified>
</cp:coreProperties>
</file>